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EA1BF2" w:rsidRPr="00EA1BF2" w:rsidTr="00EA1BF2">
        <w:tc>
          <w:tcPr>
            <w:tcW w:w="0" w:type="auto"/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A1BF2" w:rsidRPr="00EA1BF2">
              <w:tc>
                <w:tcPr>
                  <w:tcW w:w="0" w:type="auto"/>
                  <w:tcMar>
                    <w:top w:w="0" w:type="dxa"/>
                    <w:left w:w="298" w:type="dxa"/>
                    <w:bottom w:w="149" w:type="dxa"/>
                    <w:right w:w="298" w:type="dxa"/>
                  </w:tcMar>
                  <w:hideMark/>
                </w:tcPr>
                <w:p w:rsidR="00EA1BF2" w:rsidRPr="00EA1BF2" w:rsidRDefault="00EA1BF2" w:rsidP="00EA1BF2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606060"/>
                      <w:sz w:val="25"/>
                      <w:szCs w:val="25"/>
                      <w:lang w:eastAsia="hr-HR"/>
                    </w:rPr>
                  </w:pPr>
                  <w:r w:rsidRPr="00EA1BF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lang w:eastAsia="hr-HR"/>
                    </w:rPr>
                    <w:t>New Head Select</w:t>
                  </w:r>
                  <w:r w:rsidR="00EB39C1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lang w:eastAsia="hr-HR"/>
                    </w:rPr>
                    <w:t>or for the Rovinj Photodays 2018</w:t>
                  </w:r>
                  <w:r w:rsidRPr="00EA1BF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lang w:eastAsia="hr-HR"/>
                    </w:rPr>
                    <w:t xml:space="preserve"> appointed</w:t>
                  </w:r>
                </w:p>
              </w:tc>
            </w:tr>
          </w:tbl>
          <w:p w:rsidR="00EA1BF2" w:rsidRPr="00EA1BF2" w:rsidRDefault="00EA1BF2" w:rsidP="00EA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A1BF2" w:rsidRPr="00EA1BF2" w:rsidRDefault="00EA1BF2" w:rsidP="00EA1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EA1BF2" w:rsidRPr="00EA1BF2" w:rsidTr="00EA1BF2">
        <w:tc>
          <w:tcPr>
            <w:tcW w:w="0" w:type="auto"/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A1BF2" w:rsidRPr="00EA1BF2">
              <w:tc>
                <w:tcPr>
                  <w:tcW w:w="0" w:type="auto"/>
                  <w:tcMar>
                    <w:top w:w="0" w:type="dxa"/>
                    <w:left w:w="298" w:type="dxa"/>
                    <w:bottom w:w="149" w:type="dxa"/>
                    <w:right w:w="298" w:type="dxa"/>
                  </w:tcMar>
                  <w:hideMark/>
                </w:tcPr>
                <w:p w:rsidR="00EA1BF2" w:rsidRPr="00EA1BF2" w:rsidRDefault="00EA1BF2" w:rsidP="00EB39C1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606060"/>
                      <w:sz w:val="25"/>
                      <w:szCs w:val="25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color w:val="606060"/>
                      <w:sz w:val="25"/>
                      <w:szCs w:val="25"/>
                      <w:lang w:eastAsia="hr-HR"/>
                    </w:rPr>
                    <w:br/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5"/>
                      <w:szCs w:val="25"/>
                      <w:lang w:eastAsia="hr-HR"/>
                    </w:rPr>
                    <w:t>Dear friends of photography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5"/>
                      <w:szCs w:val="25"/>
                      <w:lang w:eastAsia="hr-HR"/>
                    </w:rPr>
                    <w:br/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5"/>
                      <w:szCs w:val="25"/>
                      <w:lang w:eastAsia="hr-HR"/>
                    </w:rPr>
                    <w:br/>
                  </w:r>
                  <w:r w:rsidRPr="00EA1BF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5"/>
                      <w:lang w:eastAsia="hr-HR"/>
                    </w:rPr>
                    <w:t>Rovinj Photodays 201</w:t>
                  </w:r>
                  <w:r w:rsidR="00EB39C1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5"/>
                      <w:lang w:eastAsia="hr-HR"/>
                    </w:rPr>
                    <w:t>8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5"/>
                      <w:szCs w:val="25"/>
                      <w:lang w:eastAsia="hr-HR"/>
                    </w:rPr>
                    <w:t xml:space="preserve"> competition will be judged by our new </w:t>
                  </w:r>
                  <w:r w:rsidR="00EB39C1">
                    <w:rPr>
                      <w:rFonts w:ascii="Helvetica" w:eastAsia="Times New Roman" w:hAnsi="Helvetica" w:cs="Helvetica"/>
                      <w:color w:val="000000"/>
                      <w:sz w:val="25"/>
                      <w:szCs w:val="25"/>
                      <w:lang w:eastAsia="hr-HR"/>
                    </w:rPr>
                    <w:t>Main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5"/>
                      <w:szCs w:val="25"/>
                      <w:lang w:eastAsia="hr-HR"/>
                    </w:rPr>
                    <w:t xml:space="preserve"> selector - </w:t>
                  </w:r>
                  <w:r w:rsidR="00EB39C1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5"/>
                      <w:lang w:eastAsia="hr-HR"/>
                    </w:rPr>
                    <w:t>Gabriella Uhl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5"/>
                      <w:szCs w:val="25"/>
                      <w:lang w:eastAsia="hr-HR"/>
                    </w:rPr>
                    <w:t>!</w:t>
                  </w:r>
                  <w:r>
                    <w:rPr>
                      <w:rFonts w:ascii="Helvetica" w:eastAsia="Times New Roman" w:hAnsi="Helvetica" w:cs="Helvetica"/>
                      <w:color w:val="606060"/>
                      <w:sz w:val="25"/>
                      <w:szCs w:val="25"/>
                      <w:lang w:eastAsia="hr-HR"/>
                    </w:rPr>
                    <w:br/>
                  </w:r>
                  <w:r w:rsidRPr="00EA1BF2">
                    <w:rPr>
                      <w:rFonts w:ascii="Helvetica" w:eastAsia="Times New Roman" w:hAnsi="Helvetica" w:cs="Helvetica"/>
                      <w:color w:val="606060"/>
                      <w:sz w:val="25"/>
                      <w:szCs w:val="25"/>
                      <w:lang w:eastAsia="hr-HR"/>
                    </w:rPr>
                    <w:t xml:space="preserve">  </w:t>
                  </w:r>
                </w:p>
              </w:tc>
            </w:tr>
          </w:tbl>
          <w:p w:rsidR="00EA1BF2" w:rsidRPr="00EA1BF2" w:rsidRDefault="00EA1BF2" w:rsidP="00EA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A1BF2" w:rsidRPr="00EA1BF2" w:rsidRDefault="00EA1BF2" w:rsidP="00EA1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70"/>
      </w:tblGrid>
      <w:tr w:rsidR="00EA1BF2" w:rsidRPr="00EA1BF2" w:rsidTr="00EA1BF2">
        <w:tc>
          <w:tcPr>
            <w:tcW w:w="0" w:type="auto"/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A1BF2" w:rsidRPr="00EA1BF2">
              <w:tc>
                <w:tcPr>
                  <w:tcW w:w="0" w:type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tbl>
                  <w:tblPr>
                    <w:tblpPr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A1BF2" w:rsidRPr="00EA1BF2">
                    <w:tc>
                      <w:tcPr>
                        <w:tcW w:w="0" w:type="auto"/>
                        <w:hideMark/>
                      </w:tcPr>
                      <w:p w:rsidR="00EA1BF2" w:rsidRPr="00EA1BF2" w:rsidRDefault="00EB39C1" w:rsidP="00EA1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2049517" cy="2049517"/>
                              <wp:effectExtent l="19050" t="0" r="7883" b="0"/>
                              <wp:docPr id="2" name="Picture 1" descr="\\DS214P\DiskStation\PHOTODAYS 2018\Gl. selektor\UhlGabi_byHasenfratz_Or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\\DS214P\DiskStation\PHOTODAYS 2018\Gl. selektor\UhlGabi_byHasenfratz_Or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9517" cy="20495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2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80"/>
                  </w:tblGrid>
                  <w:tr w:rsidR="00EA1BF2" w:rsidRPr="00EA1BF2">
                    <w:tc>
                      <w:tcPr>
                        <w:tcW w:w="0" w:type="auto"/>
                        <w:hideMark/>
                      </w:tcPr>
                      <w:p w:rsidR="00EB39C1" w:rsidRDefault="00EB39C1" w:rsidP="00EB39C1">
                        <w:pPr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 xml:space="preserve">Art historian and curator, she is currently the assistant professor (docent) and head of the design and art management MA program at Budapest Metropolitan University, and also lecturing at </w:t>
                        </w:r>
                        <w:proofErr w:type="spellStart"/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>Kaposvár</w:t>
                        </w:r>
                        <w:proofErr w:type="spellEnd"/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 xml:space="preserve"> University, Art Theory and Art History Department. </w:t>
                        </w:r>
                      </w:p>
                      <w:p w:rsidR="00EB39C1" w:rsidRDefault="00EB39C1" w:rsidP="00EB39C1">
                        <w:pPr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 xml:space="preserve">She first graduated history and literature (MA) at the </w:t>
                        </w:r>
                        <w:proofErr w:type="spellStart"/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>Eötvös</w:t>
                        </w:r>
                        <w:proofErr w:type="spellEnd"/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>Lóránd</w:t>
                        </w:r>
                        <w:proofErr w:type="spellEnd"/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 xml:space="preserve"> University (Budapest), writing her PhD thesis on the Central-European baroque literature. She then studied economics at the </w:t>
                        </w:r>
                        <w:proofErr w:type="spellStart"/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>Corvinus</w:t>
                        </w:r>
                        <w:proofErr w:type="spellEnd"/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 xml:space="preserve"> (Economical and Technical) University (Budapest) and graduated art history (MA) at </w:t>
                        </w:r>
                        <w:proofErr w:type="spellStart"/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>Eötvös</w:t>
                        </w:r>
                        <w:proofErr w:type="spellEnd"/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>Lóránd</w:t>
                        </w:r>
                        <w:proofErr w:type="spellEnd"/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 xml:space="preserve"> University (Budapest). </w:t>
                        </w:r>
                      </w:p>
                      <w:p w:rsidR="00EB39C1" w:rsidRDefault="00EB39C1" w:rsidP="00EB39C1">
                        <w:pPr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>She worked as a researcher at the Hungarian Academy of Science and afterwards as a chief curator of the Ernst Museum, a leading contemporary exhibition space in Budapest. She spent four years in Baltic States working as a correspondent of the leading Hungarian art magazines and as a research fellow of the Contemporary Art Centre (Tallinn, Riga).</w:t>
                        </w:r>
                      </w:p>
                      <w:p w:rsidR="00EB39C1" w:rsidRDefault="00EB39C1" w:rsidP="00EB39C1">
                        <w:pPr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 xml:space="preserve"> She was the curator of the Hungarian Pavilion at Venice Biennale, 2013.  She is working as an art critic and free-lance curator, as well. She was the curator of the Month of Photography (Budapest, Hungary) in 2012 and 2014, and appointed as a main curator of </w:t>
                        </w:r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lastRenderedPageBreak/>
                          <w:t xml:space="preserve">the 2018 edition of the photo festival in Budapest. She is a member of the curatorial board of European Month of Photography organization. </w:t>
                        </w:r>
                      </w:p>
                      <w:p w:rsidR="00EA1BF2" w:rsidRPr="00EB39C1" w:rsidRDefault="00EB39C1" w:rsidP="00EB39C1">
                        <w:pPr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EB39C1">
                          <w:rPr>
                            <w:sz w:val="24"/>
                            <w:szCs w:val="24"/>
                            <w:lang w:val="en-GB"/>
                          </w:rPr>
                          <w:t xml:space="preserve"> As a researcher she specialized in the marginal and gypsy art. She is the author of many publications on the contemporary Hungarian and Central-European art scene.</w:t>
                        </w:r>
                        <w:r w:rsidR="00EA1BF2" w:rsidRPr="00EA1BF2">
                          <w:rPr>
                            <w:rFonts w:ascii="Helvetica" w:eastAsia="Times New Roman" w:hAnsi="Helvetica" w:cs="Helvetica"/>
                            <w:color w:val="606060"/>
                            <w:lang w:eastAsia="hr-HR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EA1BF2" w:rsidRPr="00EA1BF2" w:rsidRDefault="00EA1BF2" w:rsidP="00EA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p w:rsidR="00EA1BF2" w:rsidRPr="00EA1BF2" w:rsidRDefault="00EA1BF2" w:rsidP="00EA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EA1BF2" w:rsidRPr="00EA1BF2" w:rsidRDefault="00EA1BF2" w:rsidP="00EA1BF2">
      <w:pPr>
        <w:spacing w:after="0" w:line="240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EA1BF2" w:rsidRPr="00EA1BF2" w:rsidTr="00EA1BF2">
        <w:tc>
          <w:tcPr>
            <w:tcW w:w="0" w:type="auto"/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A1BF2" w:rsidRPr="00EA1BF2">
              <w:tc>
                <w:tcPr>
                  <w:tcW w:w="0" w:type="auto"/>
                  <w:tcMar>
                    <w:top w:w="149" w:type="dxa"/>
                    <w:left w:w="298" w:type="dxa"/>
                    <w:bottom w:w="149" w:type="dxa"/>
                    <w:right w:w="29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F58B29"/>
                      <w:left w:val="single" w:sz="12" w:space="0" w:color="F58B29"/>
                      <w:bottom w:val="single" w:sz="12" w:space="0" w:color="F58B29"/>
                      <w:right w:val="single" w:sz="12" w:space="0" w:color="F58B29"/>
                    </w:tblBorders>
                    <w:shd w:val="clear" w:color="auto" w:fill="FFFFFF"/>
                    <w:tblCellMar>
                      <w:top w:w="270" w:type="dxa"/>
                      <w:left w:w="270" w:type="dxa"/>
                      <w:bottom w:w="270" w:type="dxa"/>
                      <w:right w:w="270" w:type="dxa"/>
                    </w:tblCellMar>
                    <w:tblLook w:val="04A0"/>
                  </w:tblPr>
                  <w:tblGrid>
                    <w:gridCol w:w="8446"/>
                  </w:tblGrid>
                  <w:tr w:rsidR="00EA1BF2" w:rsidRPr="00EA1BF2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A1BF2" w:rsidRPr="00EA1BF2" w:rsidRDefault="00EA1BF2" w:rsidP="00EA1BF2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333333"/>
                            <w:lang w:eastAsia="hr-HR"/>
                          </w:rPr>
                        </w:pPr>
                        <w:r w:rsidRPr="00EA1BF2">
                          <w:rPr>
                            <w:rFonts w:ascii="Helvetica" w:eastAsia="Times New Roman" w:hAnsi="Helvetica" w:cs="Helvetica"/>
                            <w:color w:val="333333"/>
                            <w:lang w:eastAsia="hr-HR"/>
                          </w:rPr>
                          <w:t>We wish to remind you that the</w:t>
                        </w:r>
                        <w:r w:rsidRPr="00EA1BF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lang w:eastAsia="hr-HR"/>
                          </w:rPr>
                          <w:t xml:space="preserve"> </w:t>
                        </w:r>
                        <w:r w:rsidRPr="00EA1BF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C00"/>
                            <w:lang w:eastAsia="hr-HR"/>
                          </w:rPr>
                          <w:t xml:space="preserve">International Competition </w:t>
                        </w:r>
                        <w:r w:rsidR="00EB39C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C00"/>
                            <w:lang w:eastAsia="hr-HR"/>
                          </w:rPr>
                          <w:t>of Contemporary Photography - 11</w:t>
                        </w:r>
                        <w:r w:rsidRPr="00EA1BF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C00"/>
                            <w:lang w:eastAsia="hr-HR"/>
                          </w:rPr>
                          <w:t>th Rovinj Photodays, 201</w:t>
                        </w:r>
                        <w:r w:rsidR="00EB39C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C00"/>
                            <w:lang w:eastAsia="hr-HR"/>
                          </w:rPr>
                          <w:t>8</w:t>
                        </w:r>
                        <w:r w:rsidRPr="00EA1BF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lang w:eastAsia="hr-HR"/>
                          </w:rPr>
                          <w:t xml:space="preserve"> </w:t>
                        </w:r>
                        <w:r w:rsidRPr="00EA1BF2">
                          <w:rPr>
                            <w:rFonts w:ascii="Helvetica" w:eastAsia="Times New Roman" w:hAnsi="Helvetica" w:cs="Helvetica"/>
                            <w:color w:val="333333"/>
                            <w:lang w:eastAsia="hr-HR"/>
                          </w:rPr>
                          <w:t>has already started and</w:t>
                        </w:r>
                        <w:r w:rsidRPr="00EA1BF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lang w:eastAsia="hr-HR"/>
                          </w:rPr>
                          <w:t xml:space="preserve"> </w:t>
                        </w:r>
                        <w:r w:rsidRPr="00EA1BF2">
                          <w:rPr>
                            <w:rFonts w:ascii="Helvetica" w:eastAsia="Times New Roman" w:hAnsi="Helvetica" w:cs="Helvetica"/>
                            <w:color w:val="333333"/>
                            <w:lang w:eastAsia="hr-HR"/>
                          </w:rPr>
                          <w:t>is</w:t>
                        </w:r>
                        <w:r w:rsidR="00EB39C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lang w:eastAsia="hr-HR"/>
                          </w:rPr>
                          <w:t xml:space="preserve"> open until January 31, 2018</w:t>
                        </w:r>
                        <w:r w:rsidRPr="00EA1BF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lang w:eastAsia="hr-HR"/>
                          </w:rPr>
                          <w:t>.</w:t>
                        </w:r>
                      </w:p>
                    </w:tc>
                  </w:tr>
                </w:tbl>
                <w:p w:rsidR="00EA1BF2" w:rsidRPr="00EA1BF2" w:rsidRDefault="00EA1BF2" w:rsidP="00EA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p w:rsidR="00EA1BF2" w:rsidRPr="00EA1BF2" w:rsidRDefault="00EA1BF2" w:rsidP="00EA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EA1BF2" w:rsidRPr="00EA1BF2" w:rsidRDefault="00EA1BF2" w:rsidP="00EA1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68"/>
      </w:tblGrid>
      <w:tr w:rsidR="00EA1BF2" w:rsidRPr="00EA1BF2" w:rsidTr="00EA1BF2">
        <w:tc>
          <w:tcPr>
            <w:tcW w:w="0" w:type="auto"/>
            <w:tcMar>
              <w:top w:w="0" w:type="dxa"/>
              <w:left w:w="298" w:type="dxa"/>
              <w:bottom w:w="298" w:type="dxa"/>
              <w:right w:w="298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58B29"/>
              <w:tblCellMar>
                <w:left w:w="0" w:type="dxa"/>
                <w:right w:w="0" w:type="dxa"/>
              </w:tblCellMar>
              <w:tblLook w:val="04A0"/>
            </w:tblPr>
            <w:tblGrid>
              <w:gridCol w:w="2796"/>
            </w:tblGrid>
            <w:tr w:rsidR="00EA1BF2" w:rsidRPr="00EA1BF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8B29"/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EA1BF2" w:rsidRPr="00EA1BF2" w:rsidRDefault="003A7592" w:rsidP="00EA1BF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hr-HR"/>
                    </w:rPr>
                  </w:pPr>
                  <w:hyperlink r:id="rId7" w:tgtFrame="_blank" w:tooltip="APPLY  NOW!" w:history="1">
                    <w:r w:rsidR="00EA1BF2" w:rsidRPr="00EA1BF2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36"/>
                        <w:lang w:eastAsia="hr-HR"/>
                      </w:rPr>
                      <w:t>APPLY NOW!</w:t>
                    </w:r>
                  </w:hyperlink>
                  <w:r w:rsidR="00EA1BF2" w:rsidRPr="00EA1BF2">
                    <w:rPr>
                      <w:rFonts w:ascii="Arial" w:eastAsia="Times New Roman" w:hAnsi="Arial" w:cs="Arial"/>
                      <w:sz w:val="36"/>
                      <w:szCs w:val="36"/>
                      <w:lang w:eastAsia="hr-HR"/>
                    </w:rPr>
                    <w:t xml:space="preserve"> </w:t>
                  </w:r>
                </w:p>
              </w:tc>
            </w:tr>
          </w:tbl>
          <w:p w:rsidR="00EA1BF2" w:rsidRPr="00EA1BF2" w:rsidRDefault="00EA1BF2" w:rsidP="00EA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A1BF2" w:rsidRPr="00EA1BF2" w:rsidRDefault="00EA1BF2" w:rsidP="00EA1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EA1BF2" w:rsidRPr="00EA1BF2" w:rsidTr="00EA1BF2">
        <w:tc>
          <w:tcPr>
            <w:tcW w:w="0" w:type="auto"/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A1BF2" w:rsidRPr="00EA1BF2">
              <w:tc>
                <w:tcPr>
                  <w:tcW w:w="0" w:type="auto"/>
                  <w:tcMar>
                    <w:top w:w="0" w:type="dxa"/>
                    <w:left w:w="298" w:type="dxa"/>
                    <w:bottom w:w="149" w:type="dxa"/>
                    <w:right w:w="298" w:type="dxa"/>
                  </w:tcMar>
                  <w:hideMark/>
                </w:tcPr>
                <w:p w:rsidR="00EA1BF2" w:rsidRPr="00EA1BF2" w:rsidRDefault="00EA1BF2" w:rsidP="00EA1BF2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606060"/>
                      <w:sz w:val="25"/>
                      <w:szCs w:val="25"/>
                      <w:lang w:eastAsia="hr-HR"/>
                    </w:rPr>
                  </w:pP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t>We expect around ten thousand photographs to be sent in for seven competition categories: Architecture, Landscape, Portrait, Body, Fashion, Documentary Photography and Artistic Concept.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br/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br/>
                    <w:t>By mid-February, we can expect the first part of the selection to begin when </w:t>
                  </w:r>
                  <w:hyperlink r:id="rId8" w:history="1">
                    <w:r w:rsidRPr="00EA1BF2">
                      <w:rPr>
                        <w:rFonts w:ascii="Helvetica" w:eastAsia="Times New Roman" w:hAnsi="Helvetica" w:cs="Helvetica"/>
                        <w:color w:val="FF8C00"/>
                        <w:sz w:val="23"/>
                        <w:u w:val="single"/>
                        <w:lang w:eastAsia="hr-HR"/>
                      </w:rPr>
                      <w:t>national select</w:t>
                    </w:r>
                    <w:r w:rsidRPr="00EA1BF2">
                      <w:rPr>
                        <w:rFonts w:ascii="Helvetica" w:eastAsia="Times New Roman" w:hAnsi="Helvetica" w:cs="Helvetica"/>
                        <w:color w:val="FF8C00"/>
                        <w:sz w:val="23"/>
                        <w:u w:val="single"/>
                        <w:lang w:eastAsia="hr-HR"/>
                      </w:rPr>
                      <w:t>o</w:t>
                    </w:r>
                    <w:r w:rsidRPr="00EA1BF2">
                      <w:rPr>
                        <w:rFonts w:ascii="Helvetica" w:eastAsia="Times New Roman" w:hAnsi="Helvetica" w:cs="Helvetica"/>
                        <w:color w:val="FF8C00"/>
                        <w:sz w:val="23"/>
                        <w:u w:val="single"/>
                        <w:lang w:eastAsia="hr-HR"/>
                      </w:rPr>
                      <w:t>rs</w:t>
                    </w:r>
                  </w:hyperlink>
                  <w:r w:rsidRPr="00EA1BF2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hr-HR"/>
                    </w:rPr>
                    <w:t xml:space="preserve"> 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t>choose five photographers for each category for the final selection.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br/>
                    <w:t> 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br/>
                    <w:t xml:space="preserve">During the second and final part of the selection process, the main selector, </w:t>
                  </w:r>
                  <w:r w:rsidR="00EB39C1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t>Gabriella Uhl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t>, will nominate the fi</w:t>
                  </w:r>
                  <w:r w:rsidR="00EB39C1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t>nalists and the winners of the 11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t>th Rovinj Photodays festival. Three best photographers in each category will show their work in a traveling exhibition, will be published in the festival catalog, on the official festival website, on press releases and on all the promotional material for the festival.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br/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lastRenderedPageBreak/>
                    <w:t> 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br/>
                  </w:r>
                  <w:r w:rsidR="00EB39C1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t>Gabriella Uhl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t xml:space="preserve"> will open the big exhibition with works by the finalists and the winners in Rovinj on the </w:t>
                  </w:r>
                  <w:r w:rsidRPr="00EA1BF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lang w:eastAsia="hr-HR"/>
                    </w:rPr>
                    <w:t>fi</w:t>
                  </w:r>
                  <w:r w:rsidR="00EB39C1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lang w:eastAsia="hr-HR"/>
                    </w:rPr>
                    <w:t>rst day of the festival on May 4th, 2018</w:t>
                  </w:r>
                  <w:r w:rsidRPr="00EA1BF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lang w:eastAsia="hr-HR"/>
                    </w:rPr>
                    <w:t xml:space="preserve">. 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t>At the award ceremony o</w:t>
                  </w:r>
                  <w:r w:rsidR="00EB39C1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t>n May 5th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t xml:space="preserve">, he will announce the overall winner of the Festival - the </w:t>
                  </w:r>
                  <w:r w:rsidRPr="00EA1BF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lang w:eastAsia="hr-HR"/>
                    </w:rPr>
                    <w:t>Grand Prix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t xml:space="preserve"> winner. The winner will get a one-person exhibition during the Rovinj Photodays festival fall exhibition at Museum of Art and Crafts and a catalog to accompany the exhibition.</w:t>
                  </w:r>
                  <w:r w:rsidRPr="00EA1BF2">
                    <w:rPr>
                      <w:rFonts w:ascii="Helvetica" w:eastAsia="Times New Roman" w:hAnsi="Helvetica" w:cs="Helvetica"/>
                      <w:color w:val="606060"/>
                      <w:sz w:val="25"/>
                      <w:szCs w:val="25"/>
                      <w:lang w:eastAsia="hr-HR"/>
                    </w:rPr>
                    <w:br/>
                    <w:t> </w:t>
                  </w:r>
                  <w:r w:rsidRPr="00EA1BF2">
                    <w:rPr>
                      <w:rFonts w:ascii="Helvetica" w:eastAsia="Times New Roman" w:hAnsi="Helvetica" w:cs="Helvetica"/>
                      <w:color w:val="606060"/>
                      <w:sz w:val="25"/>
                      <w:szCs w:val="25"/>
                      <w:lang w:eastAsia="hr-HR"/>
                    </w:rPr>
                    <w:br/>
                  </w:r>
                  <w:r w:rsidRPr="00EA1BF2">
                    <w:rPr>
                      <w:rFonts w:ascii="Helvetica" w:eastAsia="Times New Roman" w:hAnsi="Helvetica" w:cs="Helvetica"/>
                      <w:color w:val="606060"/>
                      <w:sz w:val="25"/>
                      <w:szCs w:val="25"/>
                      <w:lang w:eastAsia="hr-HR"/>
                    </w:rPr>
                    <w:br/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t>With regards,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br/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br/>
                  </w:r>
                  <w:r w:rsidRPr="00EA1BF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lang w:eastAsia="hr-HR"/>
                    </w:rPr>
                    <w:t>Photodays Team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br/>
                    <w:t>e-mail:</w:t>
                  </w:r>
                  <w:hyperlink r:id="rId9" w:history="1">
                    <w:r w:rsidRPr="00EA1BF2">
                      <w:rPr>
                        <w:rFonts w:ascii="Helvetica" w:eastAsia="Times New Roman" w:hAnsi="Helvetica" w:cs="Helvetica"/>
                        <w:color w:val="FF8C00"/>
                        <w:sz w:val="23"/>
                        <w:u w:val="single"/>
                        <w:lang w:eastAsia="hr-HR"/>
                      </w:rPr>
                      <w:t>info@photodays-rovinj.com</w:t>
                    </w:r>
                  </w:hyperlink>
                  <w:r w:rsidRPr="00EA1BF2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hr-HR"/>
                    </w:rPr>
                    <w:br/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t xml:space="preserve">www: </w:t>
                  </w:r>
                  <w:hyperlink r:id="rId10" w:history="1">
                    <w:r w:rsidRPr="00EA1BF2">
                      <w:rPr>
                        <w:rFonts w:ascii="Helvetica" w:eastAsia="Times New Roman" w:hAnsi="Helvetica" w:cs="Helvetica"/>
                        <w:color w:val="FF8C00"/>
                        <w:sz w:val="23"/>
                        <w:u w:val="single"/>
                        <w:lang w:eastAsia="hr-HR"/>
                      </w:rPr>
                      <w:t>www.photodays-rovinj.com</w:t>
                    </w:r>
                  </w:hyperlink>
                  <w:r w:rsidRPr="00EA1BF2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hr-HR"/>
                    </w:rPr>
                    <w:br/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t>Zanonova 1 | 51000 Rijeka</w:t>
                  </w: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br/>
                    <w:t>tel. +385 51 30 11 82</w:t>
                  </w:r>
                </w:p>
                <w:p w:rsidR="00EA1BF2" w:rsidRPr="00EA1BF2" w:rsidRDefault="00EA1BF2" w:rsidP="00EA1BF2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606060"/>
                      <w:sz w:val="25"/>
                      <w:szCs w:val="25"/>
                      <w:lang w:eastAsia="hr-HR"/>
                    </w:rPr>
                  </w:pPr>
                  <w:r w:rsidRPr="00EA1BF2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hr-HR"/>
                    </w:rPr>
                    <w:t>fax. +395 51 32 20 37</w:t>
                  </w:r>
                </w:p>
              </w:tc>
            </w:tr>
          </w:tbl>
          <w:p w:rsidR="00EA1BF2" w:rsidRPr="00EA1BF2" w:rsidRDefault="00EA1BF2" w:rsidP="00EA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C7962" w:rsidRDefault="00EC7962"/>
    <w:sectPr w:rsidR="00EC7962" w:rsidSect="00EC796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F2" w:rsidRDefault="00EA1BF2" w:rsidP="00EA1BF2">
      <w:pPr>
        <w:spacing w:after="0" w:line="240" w:lineRule="auto"/>
      </w:pPr>
      <w:r>
        <w:separator/>
      </w:r>
    </w:p>
  </w:endnote>
  <w:endnote w:type="continuationSeparator" w:id="0">
    <w:p w:rsidR="00EA1BF2" w:rsidRDefault="00EA1BF2" w:rsidP="00EA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F2" w:rsidRDefault="00EA1BF2" w:rsidP="00EA1BF2">
      <w:pPr>
        <w:spacing w:after="0" w:line="240" w:lineRule="auto"/>
      </w:pPr>
      <w:r>
        <w:separator/>
      </w:r>
    </w:p>
  </w:footnote>
  <w:footnote w:type="continuationSeparator" w:id="0">
    <w:p w:rsidR="00EA1BF2" w:rsidRDefault="00EA1BF2" w:rsidP="00EA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F2" w:rsidRDefault="00EB39C1">
    <w:pPr>
      <w:pStyle w:val="Header"/>
    </w:pPr>
    <w:r>
      <w:rPr>
        <w:noProof/>
        <w:lang w:eastAsia="hr-HR"/>
      </w:rPr>
      <w:drawing>
        <wp:inline distT="0" distB="0" distL="0" distR="0">
          <wp:extent cx="5759450" cy="893445"/>
          <wp:effectExtent l="19050" t="0" r="0" b="0"/>
          <wp:docPr id="4" name="Picture 2" descr="\\DS214P\DiskStation\PHOTODAYS 2018\Newsletteri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S214P\DiskStation\PHOTODAYS 2018\Newsletteri\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BF2" w:rsidRDefault="00EA1B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F2"/>
    <w:rsid w:val="000E44B7"/>
    <w:rsid w:val="003A7592"/>
    <w:rsid w:val="00EA1BF2"/>
    <w:rsid w:val="00EB39C1"/>
    <w:rsid w:val="00EC7962"/>
    <w:rsid w:val="00FC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1B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1B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F2"/>
  </w:style>
  <w:style w:type="paragraph" w:styleId="Footer">
    <w:name w:val="footer"/>
    <w:basedOn w:val="Normal"/>
    <w:link w:val="FooterChar"/>
    <w:uiPriority w:val="99"/>
    <w:semiHidden/>
    <w:unhideWhenUsed/>
    <w:rsid w:val="00EA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days-rovinj.com/contest/jury-2018/?lang=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hotodays-rovinj.com/en-us/godisnji-natjecaj/registracija-sudionika-natjecaj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hotodays-rovinj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@photodays-rovinj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lorena.miocic</dc:creator>
  <cp:keywords/>
  <dc:description/>
  <cp:lastModifiedBy>viskovic</cp:lastModifiedBy>
  <cp:revision>3</cp:revision>
  <dcterms:created xsi:type="dcterms:W3CDTF">2017-01-19T08:49:00Z</dcterms:created>
  <dcterms:modified xsi:type="dcterms:W3CDTF">2018-01-08T13:05:00Z</dcterms:modified>
</cp:coreProperties>
</file>